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F" w:rsidRPr="0052346C" w:rsidRDefault="00C420BF" w:rsidP="00C420BF">
      <w:pPr>
        <w:ind w:left="720"/>
        <w:rPr>
          <w:b/>
          <w:bCs/>
          <w:sz w:val="32"/>
          <w:szCs w:val="32"/>
        </w:rPr>
      </w:pPr>
      <w:r w:rsidRPr="0052346C">
        <w:rPr>
          <w:b/>
          <w:bCs/>
          <w:sz w:val="32"/>
          <w:szCs w:val="32"/>
        </w:rPr>
        <w:t xml:space="preserve"> </w:t>
      </w:r>
      <w:r w:rsidR="006B7FE5" w:rsidRPr="0052346C">
        <w:rPr>
          <w:b/>
          <w:bCs/>
          <w:color w:val="0070C0"/>
          <w:sz w:val="32"/>
          <w:szCs w:val="32"/>
        </w:rPr>
        <w:t>Odparovanie</w:t>
      </w:r>
      <w:r w:rsidR="006B7FE5" w:rsidRPr="00C420BF">
        <w:rPr>
          <w:b/>
          <w:sz w:val="28"/>
          <w:szCs w:val="28"/>
        </w:rPr>
        <w:t xml:space="preserve"> je metóda, pomocou ktorej vieme </w:t>
      </w:r>
      <w:r w:rsidR="006B7FE5" w:rsidRPr="00C420BF">
        <w:rPr>
          <w:b/>
          <w:bCs/>
          <w:sz w:val="28"/>
          <w:szCs w:val="28"/>
        </w:rPr>
        <w:t xml:space="preserve">oddeliť čiastočky </w:t>
      </w:r>
      <w:r w:rsidR="006B7FE5" w:rsidRPr="0052346C">
        <w:rPr>
          <w:b/>
          <w:bCs/>
          <w:sz w:val="32"/>
          <w:szCs w:val="32"/>
        </w:rPr>
        <w:t>rozpustenej pevnej látky od vody.</w:t>
      </w:r>
      <w:r w:rsidRPr="0052346C">
        <w:rPr>
          <w:b/>
          <w:bCs/>
          <w:sz w:val="32"/>
          <w:szCs w:val="32"/>
        </w:rPr>
        <w:t xml:space="preserve"> </w:t>
      </w:r>
    </w:p>
    <w:p w:rsidR="007F5375" w:rsidRDefault="00C420BF" w:rsidP="00C420BF">
      <w:pPr>
        <w:ind w:left="720"/>
        <w:rPr>
          <w:b/>
          <w:sz w:val="28"/>
          <w:szCs w:val="28"/>
        </w:rPr>
      </w:pPr>
      <w:r w:rsidRPr="0052346C">
        <w:rPr>
          <w:b/>
          <w:color w:val="0070C0"/>
          <w:sz w:val="32"/>
          <w:szCs w:val="32"/>
        </w:rPr>
        <w:t>Odparovaním</w:t>
      </w:r>
      <w:r w:rsidRPr="00C420BF">
        <w:rPr>
          <w:b/>
          <w:sz w:val="28"/>
          <w:szCs w:val="28"/>
        </w:rPr>
        <w:t xml:space="preserve"> sa voda vplyvom tepla zmení na paru. Voda </w:t>
      </w:r>
      <w:r w:rsidRPr="00C420BF">
        <w:rPr>
          <w:b/>
          <w:bCs/>
          <w:sz w:val="28"/>
          <w:szCs w:val="28"/>
        </w:rPr>
        <w:t xml:space="preserve">sa odparí </w:t>
      </w:r>
      <w:r w:rsidRPr="00C420BF">
        <w:rPr>
          <w:b/>
          <w:sz w:val="28"/>
          <w:szCs w:val="28"/>
        </w:rPr>
        <w:t>a čiastočky rozpustnej pevnej látky zostanú</w:t>
      </w:r>
      <w:r>
        <w:rPr>
          <w:b/>
          <w:sz w:val="28"/>
          <w:szCs w:val="28"/>
        </w:rPr>
        <w:t xml:space="preserve"> </w:t>
      </w:r>
      <w:r w:rsidRPr="00C420BF">
        <w:t xml:space="preserve"> </w:t>
      </w:r>
      <w:r w:rsidRPr="00C420BF">
        <w:rPr>
          <w:b/>
          <w:sz w:val="28"/>
          <w:szCs w:val="28"/>
        </w:rPr>
        <w:t>v nádobe</w:t>
      </w:r>
      <w:r>
        <w:rPr>
          <w:b/>
          <w:sz w:val="28"/>
          <w:szCs w:val="28"/>
        </w:rPr>
        <w:t xml:space="preserve">. </w:t>
      </w:r>
      <w:r w:rsidRPr="00C420BF">
        <w:rPr>
          <w:b/>
          <w:sz w:val="28"/>
          <w:szCs w:val="28"/>
        </w:rPr>
        <w:t>Každá látka sa skladá z drobných</w:t>
      </w:r>
      <w:r w:rsidRPr="00C420BF">
        <w:t xml:space="preserve"> </w:t>
      </w:r>
      <w:r w:rsidRPr="00C420BF">
        <w:rPr>
          <w:b/>
          <w:sz w:val="28"/>
          <w:szCs w:val="28"/>
        </w:rPr>
        <w:t>čiasto</w:t>
      </w:r>
      <w:r w:rsidR="0058347D">
        <w:rPr>
          <w:b/>
          <w:sz w:val="28"/>
          <w:szCs w:val="28"/>
        </w:rPr>
        <w:t>čiek.</w:t>
      </w:r>
      <w:r w:rsidRPr="00C420BF">
        <w:rPr>
          <w:noProof/>
          <w:lang w:val="cs-CZ" w:eastAsia="cs-CZ"/>
        </w:rPr>
        <w:drawing>
          <wp:inline distT="0" distB="0" distL="0" distR="0">
            <wp:extent cx="6124575" cy="1666875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54574" cy="3636511"/>
                      <a:chOff x="818712" y="2222287"/>
                      <a:chExt cx="10554574" cy="3636511"/>
                    </a:xfrm>
                  </a:grpSpPr>
                  <a:sp>
                    <a:nvSpPr>
                      <a:cNvPr id="3" name="Zástupný symbol obsahu 2"/>
                      <a:cNvSpPr>
                        <a:spLocks noGrp="1"/>
                      </a:cNvSpPr>
                    </a:nvSpPr>
                    <a:spPr>
                      <a:xfrm>
                        <a:off x="818712" y="2222287"/>
                        <a:ext cx="10554574" cy="3636511"/>
                      </a:xfrm>
                      <a:prstGeom prst="rect">
                        <a:avLst/>
                      </a:prstGeom>
                      <a:effectLst>
                        <a:outerShdw blurRad="50800" dir="14400000">
                          <a:srgbClr val="000000">
                            <a:alpha val="40000"/>
                          </a:srgbClr>
                        </a:outerShdw>
                      </a:effectLst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marL="342900" indent="-3429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4000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8000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0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00000" indent="-228600" algn="l" defTabSz="457200" rtl="0" eaLnBrk="1" latinLnBrk="0" hangingPunct="1">
                            <a:spcBef>
                              <a:spcPct val="20000"/>
                            </a:spcBef>
                            <a:spcAft>
                              <a:spcPts val="600"/>
                            </a:spcAft>
                            <a:buClr>
                              <a:schemeClr val="accent1"/>
                            </a:buClr>
                            <a:buFont typeface="Wingdings 2" charset="2"/>
                            <a:buChar char="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k-SK" sz="2800" dirty="0" smtClean="0"/>
                            <a:t>Niektoré látky sú vo vode rozpustné a niektoré nie.</a:t>
                          </a:r>
                        </a:p>
                        <a:p>
                          <a:r>
                            <a:rPr lang="sk-SK" sz="2800" dirty="0" smtClean="0"/>
                            <a:t>Rozpúšťadlo je látka v ktorej sa rozpúšťajú iné látky.</a:t>
                          </a:r>
                        </a:p>
                        <a:p>
                          <a:r>
                            <a:rPr lang="sk-SK" sz="2800" dirty="0" smtClean="0"/>
                            <a:t>Rozpúšťanie môžeme urýchliť napríklad pohybom, miešaním, zohrievaním.</a:t>
                          </a:r>
                        </a:p>
                        <a:p>
                          <a:endParaRPr lang="sk-SK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B7FE5" w:rsidRPr="00C420BF">
        <w:rPr>
          <w:b/>
          <w:sz w:val="28"/>
          <w:szCs w:val="28"/>
        </w:rPr>
        <w:t>Keď sa látka dostane  do inej látky rozpúšťadla / cukor+ v</w:t>
      </w:r>
      <w:r>
        <w:rPr>
          <w:b/>
          <w:sz w:val="28"/>
          <w:szCs w:val="28"/>
        </w:rPr>
        <w:t>oda/ čiastočky sa rozpoja a uvoľ</w:t>
      </w:r>
      <w:r w:rsidR="006B7FE5" w:rsidRPr="00C420BF">
        <w:rPr>
          <w:b/>
          <w:sz w:val="28"/>
          <w:szCs w:val="28"/>
        </w:rPr>
        <w:t>nia = rozpustia sa. Niektoré nedržia pohromade = nerozpustia sa.</w:t>
      </w:r>
    </w:p>
    <w:p w:rsidR="0052346C" w:rsidRPr="00373927" w:rsidRDefault="0052346C" w:rsidP="0052346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2346C">
        <w:rPr>
          <w:rFonts w:ascii="Comic Sans MS" w:hAnsi="Comic Sans MS"/>
          <w:b/>
          <w:color w:val="0070C0"/>
          <w:sz w:val="28"/>
          <w:szCs w:val="28"/>
        </w:rPr>
        <w:t>Filtrácia</w:t>
      </w:r>
      <w:r w:rsidRPr="0052346C">
        <w:rPr>
          <w:rFonts w:ascii="Comic Sans MS" w:hAnsi="Comic Sans MS"/>
          <w:b/>
          <w:sz w:val="28"/>
          <w:szCs w:val="28"/>
        </w:rPr>
        <w:t xml:space="preserve"> je metóda, pomocou ktorej vieme oddeliť čiastočky nerozpustnej pevnej látky od vody. Môžeme ich oddeliť pomocou prelievania cez filter</w:t>
      </w:r>
      <w:r w:rsidRPr="00373927">
        <w:rPr>
          <w:rFonts w:ascii="Comic Sans MS" w:hAnsi="Comic Sans MS"/>
          <w:sz w:val="24"/>
          <w:szCs w:val="24"/>
        </w:rPr>
        <w:t>.</w:t>
      </w:r>
    </w:p>
    <w:p w:rsidR="0052346C" w:rsidRPr="0058347D" w:rsidRDefault="0052346C" w:rsidP="00C420BF">
      <w:pPr>
        <w:ind w:left="720"/>
        <w:rPr>
          <w:b/>
          <w:color w:val="FF0000"/>
          <w:sz w:val="28"/>
          <w:szCs w:val="28"/>
        </w:rPr>
      </w:pPr>
      <w:r w:rsidRPr="0058347D">
        <w:rPr>
          <w:b/>
          <w:color w:val="FF0000"/>
          <w:sz w:val="28"/>
          <w:szCs w:val="28"/>
        </w:rPr>
        <w:t>Zopakujme si:</w:t>
      </w:r>
    </w:p>
    <w:p w:rsidR="00C420BF" w:rsidRPr="0058347D" w:rsidRDefault="00C420BF" w:rsidP="00C420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347D">
        <w:rPr>
          <w:rFonts w:ascii="Times New Roman" w:hAnsi="Times New Roman" w:cs="Times New Roman"/>
          <w:b/>
          <w:color w:val="FF0000"/>
          <w:sz w:val="28"/>
          <w:szCs w:val="28"/>
        </w:rPr>
        <w:t>Vyfarbi správnu odpoveď</w:t>
      </w:r>
      <w:r w:rsidR="0058347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420BF" w:rsidRDefault="00C420BF" w:rsidP="00C420BF">
      <w:pPr>
        <w:rPr>
          <w:rFonts w:ascii="Times New Roman" w:hAnsi="Times New Roman" w:cs="Times New Roman"/>
          <w:b/>
          <w:sz w:val="28"/>
          <w:szCs w:val="28"/>
        </w:rPr>
      </w:pPr>
      <w:r w:rsidRPr="00F94598">
        <w:rPr>
          <w:rFonts w:ascii="Times New Roman" w:hAnsi="Times New Roman" w:cs="Times New Roman"/>
          <w:b/>
          <w:sz w:val="28"/>
          <w:szCs w:val="28"/>
        </w:rPr>
        <w:t xml:space="preserve">     Metóda, ktorou vieme oddeliť čiastočky rozpustnej pevnej látky </w:t>
      </w:r>
      <w:r w:rsidRPr="00F945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napr. cukor </w:t>
      </w:r>
      <w:r w:rsidRPr="00F94598">
        <w:rPr>
          <w:rFonts w:ascii="Times New Roman" w:hAnsi="Times New Roman" w:cs="Times New Roman"/>
          <w:sz w:val="28"/>
          <w:szCs w:val="28"/>
        </w:rPr>
        <w:t>)</w:t>
      </w:r>
      <w:r w:rsidR="0052346C">
        <w:rPr>
          <w:rFonts w:ascii="Times New Roman" w:hAnsi="Times New Roman" w:cs="Times New Roman"/>
          <w:b/>
          <w:sz w:val="28"/>
          <w:szCs w:val="28"/>
        </w:rPr>
        <w:t>od vody sa volá:</w:t>
      </w:r>
      <w:r w:rsidRPr="00F9459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Ind w:w="583" w:type="dxa"/>
        <w:tblLook w:val="04A0"/>
      </w:tblPr>
      <w:tblGrid>
        <w:gridCol w:w="4123"/>
        <w:gridCol w:w="4034"/>
      </w:tblGrid>
      <w:tr w:rsidR="00C420BF" w:rsidTr="0052346C">
        <w:trPr>
          <w:trHeight w:val="269"/>
        </w:trPr>
        <w:tc>
          <w:tcPr>
            <w:tcW w:w="4123" w:type="dxa"/>
          </w:tcPr>
          <w:p w:rsidR="00C420BF" w:rsidRDefault="00C420BF" w:rsidP="00F6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ODPAROVANIE</w:t>
            </w:r>
          </w:p>
        </w:tc>
        <w:tc>
          <w:tcPr>
            <w:tcW w:w="4034" w:type="dxa"/>
          </w:tcPr>
          <w:p w:rsidR="00C420BF" w:rsidRDefault="00C420BF" w:rsidP="00F6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FILTRÁCIA</w:t>
            </w:r>
          </w:p>
        </w:tc>
      </w:tr>
    </w:tbl>
    <w:p w:rsidR="00C420BF" w:rsidRDefault="00C420BF" w:rsidP="00C420BF">
      <w:pPr>
        <w:rPr>
          <w:rFonts w:ascii="Times New Roman" w:hAnsi="Times New Roman" w:cs="Times New Roman"/>
          <w:b/>
          <w:sz w:val="28"/>
          <w:szCs w:val="28"/>
        </w:rPr>
      </w:pPr>
    </w:p>
    <w:p w:rsidR="0052346C" w:rsidRPr="0058347D" w:rsidRDefault="0052346C" w:rsidP="0052346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347D">
        <w:rPr>
          <w:rFonts w:ascii="Times New Roman" w:hAnsi="Times New Roman" w:cs="Times New Roman"/>
          <w:b/>
          <w:color w:val="FF0000"/>
          <w:sz w:val="28"/>
          <w:szCs w:val="28"/>
        </w:rPr>
        <w:t>Zakrúžkuj,  čo sa vo vode rozpúšťa:</w:t>
      </w:r>
    </w:p>
    <w:p w:rsidR="006B7FE5" w:rsidRPr="006B7FE5" w:rsidRDefault="0052346C" w:rsidP="00C420BF">
      <w:pPr>
        <w:ind w:left="720"/>
        <w:rPr>
          <w:rFonts w:ascii="Times New Roman" w:hAnsi="Times New Roman" w:cs="Times New Roman"/>
          <w:sz w:val="28"/>
          <w:szCs w:val="28"/>
        </w:rPr>
      </w:pPr>
      <w:r w:rsidRPr="00762DDA">
        <w:rPr>
          <w:rFonts w:ascii="Times New Roman" w:hAnsi="Times New Roman" w:cs="Times New Roman"/>
          <w:sz w:val="28"/>
          <w:szCs w:val="28"/>
        </w:rPr>
        <w:t>múka</w:t>
      </w:r>
      <w:r>
        <w:rPr>
          <w:rFonts w:ascii="Times New Roman" w:hAnsi="Times New Roman" w:cs="Times New Roman"/>
          <w:sz w:val="28"/>
          <w:szCs w:val="28"/>
        </w:rPr>
        <w:t xml:space="preserve">         soľ</w:t>
      </w:r>
      <w:r w:rsidRPr="00762DDA">
        <w:rPr>
          <w:rFonts w:ascii="Times New Roman" w:hAnsi="Times New Roman" w:cs="Times New Roman"/>
          <w:sz w:val="28"/>
          <w:szCs w:val="28"/>
        </w:rPr>
        <w:t xml:space="preserve">               krieda</w:t>
      </w:r>
      <w:r>
        <w:rPr>
          <w:rFonts w:ascii="Times New Roman" w:hAnsi="Times New Roman" w:cs="Times New Roman"/>
          <w:sz w:val="28"/>
          <w:szCs w:val="28"/>
        </w:rPr>
        <w:t xml:space="preserve">          olej           cukor</w:t>
      </w:r>
    </w:p>
    <w:p w:rsidR="009E1852" w:rsidRPr="006B7FE5" w:rsidRDefault="006B7FE5" w:rsidP="006B7FE5">
      <w:pPr>
        <w:rPr>
          <w:rFonts w:ascii="Arial" w:hAnsi="Arial" w:cs="Arial"/>
          <w:b/>
          <w:sz w:val="24"/>
          <w:szCs w:val="24"/>
        </w:rPr>
      </w:pPr>
      <w:r w:rsidRPr="0058347D">
        <w:rPr>
          <w:rFonts w:ascii="Arial" w:hAnsi="Arial" w:cs="Arial"/>
          <w:b/>
          <w:color w:val="FF0000"/>
          <w:sz w:val="24"/>
          <w:szCs w:val="24"/>
        </w:rPr>
        <w:t>Vyfarbi veci, ktoré môžeme použiť ako filter.</w:t>
      </w:r>
      <w:r>
        <w:rPr>
          <w:rFonts w:ascii="Arial" w:hAnsi="Arial" w:cs="Arial"/>
          <w:noProof/>
          <w:sz w:val="30"/>
          <w:szCs w:val="30"/>
          <w:lang w:val="cs-CZ" w:eastAsia="cs-CZ"/>
        </w:rPr>
        <w:drawing>
          <wp:inline distT="0" distB="0" distL="0" distR="0">
            <wp:extent cx="6076950" cy="4953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35" cy="4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52" w:rsidRPr="006B7FE5" w:rsidSect="009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10"/>
    <w:multiLevelType w:val="hybridMultilevel"/>
    <w:tmpl w:val="0C882068"/>
    <w:lvl w:ilvl="0" w:tplc="7C0EA45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0C2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E50F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87B0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A94B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68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0B6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E14C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261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AF2CFD"/>
    <w:multiLevelType w:val="hybridMultilevel"/>
    <w:tmpl w:val="9076A5BC"/>
    <w:lvl w:ilvl="0" w:tplc="9B302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0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0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0BF"/>
    <w:rsid w:val="001A7C41"/>
    <w:rsid w:val="00466F7C"/>
    <w:rsid w:val="0052346C"/>
    <w:rsid w:val="0058347D"/>
    <w:rsid w:val="006B7FE5"/>
    <w:rsid w:val="007F5375"/>
    <w:rsid w:val="009E1852"/>
    <w:rsid w:val="00C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0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20B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5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6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2021-02-04T21:05:00Z</dcterms:created>
  <dcterms:modified xsi:type="dcterms:W3CDTF">2021-02-04T21:05:00Z</dcterms:modified>
</cp:coreProperties>
</file>